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F7" w:rsidRPr="004F5E23" w:rsidRDefault="00B261F7" w:rsidP="00C9398F">
      <w:pPr>
        <w:rPr>
          <w:sz w:val="28"/>
          <w:szCs w:val="28"/>
        </w:rPr>
      </w:pPr>
      <w:bookmarkStart w:id="0" w:name="_GoBack"/>
      <w:bookmarkEnd w:id="0"/>
      <w:proofErr w:type="spellStart"/>
      <w:r w:rsidRPr="004F5E23">
        <w:rPr>
          <w:sz w:val="28"/>
          <w:szCs w:val="28"/>
        </w:rPr>
        <w:t>Smarts</w:t>
      </w:r>
      <w:proofErr w:type="spellEnd"/>
      <w:r w:rsidRPr="004F5E23">
        <w:rPr>
          <w:sz w:val="28"/>
          <w:szCs w:val="28"/>
        </w:rPr>
        <w:t xml:space="preserve"> 5 dimensioner. Match tekstuddrag med primære dimension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403"/>
      </w:tblGrid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hyperlink r:id="rId4" w:tgtFrame="Notes" w:history="1">
              <w:r w:rsidRPr="004F5E23">
                <w:rPr>
                  <w:rStyle w:val="Hyperlink"/>
                  <w:sz w:val="20"/>
                  <w:szCs w:val="20"/>
                </w:rPr>
                <w:t>v1</w:t>
              </w:r>
            </w:hyperlink>
            <w:r w:rsidRPr="004F5E23">
              <w:rPr>
                <w:sz w:val="20"/>
                <w:szCs w:val="20"/>
              </w:rPr>
              <w:t xml:space="preserve">  Slangen var det snedigste af alle de vilde dyr, Gud Herren havde skabt, og den spurgte kvinden: »Har Gud virkelig sagt, at I ikke må spise af træerne i haven?« </w:t>
            </w:r>
            <w:hyperlink r:id="rId5" w:tgtFrame="Notes" w:history="1">
              <w:r w:rsidRPr="004F5E23">
                <w:rPr>
                  <w:rStyle w:val="Hyperlink"/>
                  <w:sz w:val="20"/>
                  <w:szCs w:val="20"/>
                </w:rPr>
                <w:t>v2</w:t>
              </w:r>
            </w:hyperlink>
            <w:r w:rsidRPr="004F5E23">
              <w:rPr>
                <w:sz w:val="20"/>
                <w:szCs w:val="20"/>
              </w:rPr>
              <w:t xml:space="preserve">  Kvinden svarede slangen: »Vi må gerne spise af frugten på træerne i haven, </w:t>
            </w:r>
            <w:hyperlink r:id="rId6" w:tgtFrame="Notes" w:history="1">
              <w:r w:rsidRPr="004F5E23">
                <w:rPr>
                  <w:rStyle w:val="Hyperlink"/>
                  <w:sz w:val="20"/>
                  <w:szCs w:val="20"/>
                </w:rPr>
                <w:t>v3</w:t>
              </w:r>
            </w:hyperlink>
            <w:r w:rsidRPr="004F5E23">
              <w:rPr>
                <w:sz w:val="20"/>
                <w:szCs w:val="20"/>
              </w:rPr>
              <w:t xml:space="preserve">  men frugten på det træ, der står midt i haven, har Gud sagt, at vi ikke må spise af og ikke røre ved, for ellers skal vi dø.« </w:t>
            </w:r>
            <w:hyperlink r:id="rId7" w:tgtFrame="Notes" w:history="1">
              <w:r w:rsidRPr="004F5E23">
                <w:rPr>
                  <w:rStyle w:val="Hyperlink"/>
                  <w:sz w:val="20"/>
                  <w:szCs w:val="20"/>
                </w:rPr>
                <w:t>v4</w:t>
              </w:r>
            </w:hyperlink>
            <w:r w:rsidRPr="004F5E23">
              <w:rPr>
                <w:sz w:val="20"/>
                <w:szCs w:val="20"/>
              </w:rPr>
              <w:t>  Men slangen sagde til kvinden: »Vist skal I ikke dø!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rituelle og praktiske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Islams seks trosartikler udgør det fundamentale i den muslimske tro. De seks trosartikler omhandler Gud, engle, skrifter/bøger, profeter, dommedag og forudbestemmelse, og står beskrevet i Koranen i sura 2,177.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oplevelsesmæssige og emotionelle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 xml:space="preserve">Som buddhist skal man: </w:t>
            </w:r>
            <w:r w:rsidRPr="004F5E23">
              <w:rPr>
                <w:sz w:val="20"/>
                <w:szCs w:val="20"/>
              </w:rPr>
              <w:br/>
              <w:t>1. Afholde sig fra at tage noget levende væsens liv.</w:t>
            </w:r>
            <w:r w:rsidRPr="004F5E23">
              <w:rPr>
                <w:sz w:val="20"/>
                <w:szCs w:val="20"/>
              </w:rPr>
              <w:br/>
              <w:t>2. Afholde sig fra at tage, hvad der ikke gives.</w:t>
            </w:r>
            <w:r w:rsidRPr="004F5E23">
              <w:rPr>
                <w:sz w:val="20"/>
                <w:szCs w:val="20"/>
              </w:rPr>
              <w:br/>
              <w:t>3. Afholde sig fra utugt (for munke gælder dette seksuel omgang i det hele taget).</w:t>
            </w:r>
            <w:r w:rsidRPr="004F5E23">
              <w:rPr>
                <w:sz w:val="20"/>
                <w:szCs w:val="20"/>
              </w:rPr>
              <w:br/>
              <w:t>4. Afholde sig fra falsk tale.</w:t>
            </w:r>
            <w:r w:rsidRPr="004F5E23">
              <w:rPr>
                <w:sz w:val="20"/>
                <w:szCs w:val="20"/>
              </w:rPr>
              <w:br/>
              <w:t>5. Afholde sig fra at indtage destillerede og gærede drikke, der forårsager beruselse og hensynsløshed.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mytiske og narrative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Paven, kardinalerne, kurien, ærkebiskopperne, biskopperne, præsterne, diakonerne, munkene og nonnerne. Der er mange embeder at holde styr på i den katolske kirke, og hvad er forskellen på dem? Få et overblik over hvem og hvad her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dogmatiske og filosofiske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 xml:space="preserve">I begyndelsen af </w:t>
            </w:r>
            <w:proofErr w:type="spellStart"/>
            <w:r w:rsidRPr="004F5E23">
              <w:rPr>
                <w:sz w:val="20"/>
                <w:szCs w:val="20"/>
              </w:rPr>
              <w:t>Benalmádena</w:t>
            </w:r>
            <w:proofErr w:type="spellEnd"/>
            <w:r w:rsidRPr="004F5E23">
              <w:rPr>
                <w:sz w:val="20"/>
                <w:szCs w:val="20"/>
              </w:rPr>
              <w:t xml:space="preserve"> landsby ligger Europas største buddhistiske </w:t>
            </w:r>
            <w:proofErr w:type="spellStart"/>
            <w:r w:rsidRPr="004F5E23">
              <w:rPr>
                <w:sz w:val="20"/>
                <w:szCs w:val="20"/>
              </w:rPr>
              <w:t>stupa</w:t>
            </w:r>
            <w:proofErr w:type="spellEnd"/>
            <w:r w:rsidRPr="004F5E23">
              <w:rPr>
                <w:sz w:val="20"/>
                <w:szCs w:val="20"/>
              </w:rPr>
              <w:t xml:space="preserve">.  </w:t>
            </w:r>
            <w:proofErr w:type="spellStart"/>
            <w:r w:rsidRPr="004F5E23">
              <w:rPr>
                <w:sz w:val="20"/>
                <w:szCs w:val="20"/>
              </w:rPr>
              <w:t>Stupaen</w:t>
            </w:r>
            <w:proofErr w:type="spellEnd"/>
            <w:r w:rsidRPr="004F5E23">
              <w:rPr>
                <w:sz w:val="20"/>
                <w:szCs w:val="20"/>
              </w:rPr>
              <w:t> er 33 meter høj og næsten 26 meter bred. Buddhist templet ligger smukt med udsigt udover Fuengirola og er værd at besøge som et udsigtspunkt.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etiske og juridiske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Bønnen er den anden søjle, og yderst vigtig. Fem gange om dagen, lægger man alt andet fra sig for at tilbede den ene sande Gud Allah (</w:t>
            </w:r>
            <w:proofErr w:type="spellStart"/>
            <w:r w:rsidRPr="004F5E23">
              <w:rPr>
                <w:sz w:val="20"/>
                <w:szCs w:val="20"/>
              </w:rPr>
              <w:t>swt</w:t>
            </w:r>
            <w:proofErr w:type="spellEnd"/>
            <w:r w:rsidRPr="004F5E23">
              <w:rPr>
                <w:sz w:val="20"/>
                <w:szCs w:val="20"/>
              </w:rPr>
              <w:t>). Fem gange om dagen husker man Allah (</w:t>
            </w:r>
            <w:proofErr w:type="spellStart"/>
            <w:r w:rsidRPr="004F5E23">
              <w:rPr>
                <w:sz w:val="20"/>
                <w:szCs w:val="20"/>
              </w:rPr>
              <w:t>swt</w:t>
            </w:r>
            <w:proofErr w:type="spellEnd"/>
            <w:r w:rsidRPr="004F5E23">
              <w:rPr>
                <w:sz w:val="20"/>
                <w:szCs w:val="20"/>
              </w:rPr>
              <w:t>) og kun ham.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sociale og institutionelle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:rsidTr="004F5E23">
        <w:tc>
          <w:tcPr>
            <w:tcW w:w="4531" w:type="dxa"/>
          </w:tcPr>
          <w:p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Ved fysiske og mentale øvelser, dans, trommeslag eller rusmidler udløses selve ekstasen, hvis intensitet kan variere fra velvære til voldsom forløsning. Erfaringen under ekst</w:t>
            </w:r>
            <w:r w:rsidRPr="004F5E23">
              <w:rPr>
                <w:sz w:val="20"/>
                <w:szCs w:val="20"/>
              </w:rPr>
              <w:t>ase varierer alt efter religiøs s</w:t>
            </w:r>
            <w:r w:rsidRPr="004F5E23">
              <w:rPr>
                <w:sz w:val="20"/>
                <w:szCs w:val="20"/>
              </w:rPr>
              <w:t>ammenhæng: </w:t>
            </w:r>
            <w:hyperlink r:id="rId8" w:history="1">
              <w:r w:rsidRPr="004F5E23">
                <w:rPr>
                  <w:rStyle w:val="Hyperlink"/>
                  <w:color w:val="auto"/>
                  <w:sz w:val="20"/>
                  <w:szCs w:val="20"/>
                  <w:u w:val="none"/>
                </w:rPr>
                <w:t>Mystikerens</w:t>
              </w:r>
            </w:hyperlink>
            <w:r w:rsidRPr="004F5E23">
              <w:rPr>
                <w:sz w:val="20"/>
                <w:szCs w:val="20"/>
              </w:rPr>
              <w:t> sjæl forenes med Gud eller en kosmisk kraft; </w:t>
            </w:r>
            <w:hyperlink r:id="rId9" w:history="1">
              <w:r w:rsidRPr="004F5E23">
                <w:rPr>
                  <w:rStyle w:val="Hyperlink"/>
                  <w:color w:val="auto"/>
                  <w:sz w:val="20"/>
                  <w:szCs w:val="20"/>
                  <w:u w:val="none"/>
                </w:rPr>
                <w:t>shamanens</w:t>
              </w:r>
            </w:hyperlink>
            <w:r w:rsidRPr="004F5E23">
              <w:rPr>
                <w:sz w:val="20"/>
                <w:szCs w:val="20"/>
              </w:rPr>
              <w:t> sjæl rejser hinsides for at tale med ånderne; præstinden besættes under seancen af guden, eller præsten opfyldes af </w:t>
            </w:r>
            <w:hyperlink r:id="rId10" w:history="1">
              <w:r w:rsidRPr="004F5E23">
                <w:rPr>
                  <w:rStyle w:val="Hyperlink"/>
                  <w:color w:val="auto"/>
                  <w:sz w:val="20"/>
                  <w:szCs w:val="20"/>
                  <w:u w:val="none"/>
                </w:rPr>
                <w:t>Helligånden</w:t>
              </w:r>
            </w:hyperlink>
            <w:r w:rsidRPr="004F5E23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vMerge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materielle dimension</w:t>
            </w:r>
          </w:p>
          <w:p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</w:tbl>
    <w:p w:rsidR="00EC0C45" w:rsidRPr="004F5E23" w:rsidRDefault="00EC0C45" w:rsidP="00C9398F">
      <w:pPr>
        <w:rPr>
          <w:sz w:val="18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lastRenderedPageBreak/>
        <w:t>Den rituelle og praktiske dimension</w:t>
      </w:r>
    </w:p>
    <w:p w:rsidR="00B261F7" w:rsidRPr="004F5E23" w:rsidRDefault="00B261F7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>Bønnen er den anden søjle, og yderst vigtig. Fem gange om dagen, lægger man alt andet fra sig for at tilbede den ene sande Gud Allah (</w:t>
      </w:r>
      <w:proofErr w:type="spellStart"/>
      <w:r w:rsidRPr="004F5E23">
        <w:rPr>
          <w:sz w:val="16"/>
          <w:szCs w:val="16"/>
        </w:rPr>
        <w:t>swt</w:t>
      </w:r>
      <w:proofErr w:type="spellEnd"/>
      <w:r w:rsidRPr="004F5E23">
        <w:rPr>
          <w:sz w:val="16"/>
          <w:szCs w:val="16"/>
        </w:rPr>
        <w:t>). Fem gange om dagen husker man Allah (</w:t>
      </w:r>
      <w:proofErr w:type="spellStart"/>
      <w:r w:rsidRPr="004F5E23">
        <w:rPr>
          <w:sz w:val="16"/>
          <w:szCs w:val="16"/>
        </w:rPr>
        <w:t>swt</w:t>
      </w:r>
      <w:proofErr w:type="spellEnd"/>
      <w:r w:rsidRPr="004F5E23">
        <w:rPr>
          <w:sz w:val="16"/>
          <w:szCs w:val="16"/>
        </w:rPr>
        <w:t>) og kun ham.</w:t>
      </w:r>
    </w:p>
    <w:p w:rsidR="00B261F7" w:rsidRPr="004F5E23" w:rsidRDefault="00B261F7" w:rsidP="00C9398F">
      <w:pPr>
        <w:rPr>
          <w:sz w:val="16"/>
          <w:szCs w:val="16"/>
        </w:rPr>
      </w:pPr>
      <w:hyperlink r:id="rId11" w:history="1">
        <w:r w:rsidRPr="004F5E23">
          <w:rPr>
            <w:rStyle w:val="Hyperlink"/>
            <w:sz w:val="16"/>
            <w:szCs w:val="16"/>
          </w:rPr>
          <w:t>http://www.barn-i-islam.dk/salah.htm</w:t>
        </w:r>
      </w:hyperlink>
    </w:p>
    <w:p w:rsidR="00B261F7" w:rsidRPr="004F5E23" w:rsidRDefault="00B261F7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t>Den oplevelsesmæssige og emotionelle dimension</w:t>
      </w:r>
    </w:p>
    <w:p w:rsidR="00B261F7" w:rsidRPr="004F5E23" w:rsidRDefault="00B261F7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>Ved fysiske og mentale øvelser, dans, trommeslag eller rusmidler udløses selve ekstasen, hvis intensitet kan variere fra velvære til voldsom forløsning. Erfaringen under ekstase varierer alt efter religiøs sammenhæng: </w:t>
      </w:r>
      <w:hyperlink r:id="rId12" w:history="1">
        <w:r w:rsidRPr="004F5E23">
          <w:rPr>
            <w:rStyle w:val="Hyperlink"/>
            <w:color w:val="auto"/>
            <w:sz w:val="16"/>
            <w:szCs w:val="16"/>
            <w:u w:val="none"/>
          </w:rPr>
          <w:t>Mystikerens</w:t>
        </w:r>
      </w:hyperlink>
      <w:r w:rsidRPr="004F5E23">
        <w:rPr>
          <w:sz w:val="16"/>
          <w:szCs w:val="16"/>
        </w:rPr>
        <w:t> sjæl forenes med Gud eller en kosmisk kraft; </w:t>
      </w:r>
      <w:hyperlink r:id="rId13" w:history="1">
        <w:r w:rsidRPr="004F5E23">
          <w:rPr>
            <w:rStyle w:val="Hyperlink"/>
            <w:color w:val="auto"/>
            <w:sz w:val="16"/>
            <w:szCs w:val="16"/>
            <w:u w:val="none"/>
          </w:rPr>
          <w:t>shamanens</w:t>
        </w:r>
      </w:hyperlink>
      <w:r w:rsidRPr="004F5E23">
        <w:rPr>
          <w:sz w:val="16"/>
          <w:szCs w:val="16"/>
        </w:rPr>
        <w:t> sjæl rejser hinsides for at tale med ånderne; præstinden besættes under seancen af guden, eller præsten opfyldes af </w:t>
      </w:r>
      <w:hyperlink r:id="rId14" w:history="1">
        <w:r w:rsidRPr="004F5E23">
          <w:rPr>
            <w:rStyle w:val="Hyperlink"/>
            <w:color w:val="auto"/>
            <w:sz w:val="16"/>
            <w:szCs w:val="16"/>
            <w:u w:val="none"/>
          </w:rPr>
          <w:t>Helligånden</w:t>
        </w:r>
      </w:hyperlink>
      <w:r w:rsidRPr="004F5E23">
        <w:rPr>
          <w:sz w:val="16"/>
          <w:szCs w:val="16"/>
        </w:rPr>
        <w:t>.</w:t>
      </w:r>
    </w:p>
    <w:p w:rsidR="00B261F7" w:rsidRPr="004F5E23" w:rsidRDefault="00B261F7" w:rsidP="00C9398F">
      <w:pPr>
        <w:rPr>
          <w:sz w:val="16"/>
          <w:szCs w:val="16"/>
        </w:rPr>
      </w:pPr>
      <w:hyperlink r:id="rId15" w:history="1">
        <w:r w:rsidRPr="004F5E23">
          <w:rPr>
            <w:rStyle w:val="Hyperlink"/>
            <w:sz w:val="16"/>
            <w:szCs w:val="16"/>
          </w:rPr>
          <w:t>http://denstoredanske.dk/Sprog,_religion_og_filosofi/Religion_og_mystik/Primitiv_religion/ekstase</w:t>
        </w:r>
      </w:hyperlink>
    </w:p>
    <w:p w:rsidR="00B261F7" w:rsidRPr="004F5E23" w:rsidRDefault="00B261F7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t>Den mytiske og narrative dimension</w:t>
      </w:r>
    </w:p>
    <w:bookmarkStart w:id="1" w:name="v1"/>
    <w:p w:rsidR="00566ABF" w:rsidRPr="004F5E23" w:rsidRDefault="00566ABF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fldChar w:fldCharType="begin"/>
      </w:r>
      <w:r w:rsidRPr="004F5E23">
        <w:rPr>
          <w:sz w:val="16"/>
          <w:szCs w:val="16"/>
        </w:rPr>
        <w:instrText xml:space="preserve"> HYPERLINK "http://www.bibelselskabet.dk/danbib/web/1mos/ch3/v1.htm" \t "Notes" </w:instrText>
      </w:r>
      <w:r w:rsidRPr="004F5E23">
        <w:rPr>
          <w:sz w:val="16"/>
          <w:szCs w:val="16"/>
        </w:rPr>
        <w:fldChar w:fldCharType="separate"/>
      </w:r>
      <w:r w:rsidRPr="004F5E23">
        <w:rPr>
          <w:rStyle w:val="Hyperlink"/>
          <w:sz w:val="16"/>
          <w:szCs w:val="16"/>
        </w:rPr>
        <w:t>v1</w:t>
      </w:r>
      <w:r w:rsidRPr="004F5E23">
        <w:rPr>
          <w:sz w:val="16"/>
          <w:szCs w:val="16"/>
        </w:rPr>
        <w:fldChar w:fldCharType="end"/>
      </w:r>
      <w:bookmarkEnd w:id="1"/>
      <w:r w:rsidRPr="004F5E23">
        <w:rPr>
          <w:sz w:val="16"/>
          <w:szCs w:val="16"/>
        </w:rPr>
        <w:t xml:space="preserve">  Slangen var det snedigste af alle de vilde dyr, Gud Herren havde skabt, og den spurgte kvinden: »Har Gud virkelig sagt, at I ikke må spise af træerne i haven?« </w:t>
      </w:r>
      <w:bookmarkStart w:id="2" w:name="v2"/>
      <w:r w:rsidRPr="004F5E23">
        <w:rPr>
          <w:sz w:val="16"/>
          <w:szCs w:val="16"/>
        </w:rPr>
        <w:fldChar w:fldCharType="begin"/>
      </w:r>
      <w:r w:rsidRPr="004F5E23">
        <w:rPr>
          <w:sz w:val="16"/>
          <w:szCs w:val="16"/>
        </w:rPr>
        <w:instrText xml:space="preserve"> HYPERLINK "http://www.bibelselskabet.dk/danbib/web/1mos/ch3/v2.htm" \t "Notes" </w:instrText>
      </w:r>
      <w:r w:rsidRPr="004F5E23">
        <w:rPr>
          <w:sz w:val="16"/>
          <w:szCs w:val="16"/>
        </w:rPr>
        <w:fldChar w:fldCharType="separate"/>
      </w:r>
      <w:r w:rsidRPr="004F5E23">
        <w:rPr>
          <w:rStyle w:val="Hyperlink"/>
          <w:sz w:val="16"/>
          <w:szCs w:val="16"/>
        </w:rPr>
        <w:t>v2</w:t>
      </w:r>
      <w:r w:rsidRPr="004F5E23">
        <w:rPr>
          <w:sz w:val="16"/>
          <w:szCs w:val="16"/>
        </w:rPr>
        <w:fldChar w:fldCharType="end"/>
      </w:r>
      <w:bookmarkEnd w:id="2"/>
      <w:r w:rsidRPr="004F5E23">
        <w:rPr>
          <w:sz w:val="16"/>
          <w:szCs w:val="16"/>
        </w:rPr>
        <w:t xml:space="preserve">  Kvinden svarede slangen: »Vi må gerne spise af frugten på træerne i haven, </w:t>
      </w:r>
      <w:hyperlink r:id="rId16" w:tgtFrame="Notes" w:history="1">
        <w:r w:rsidRPr="004F5E23">
          <w:rPr>
            <w:rStyle w:val="Hyperlink"/>
            <w:sz w:val="16"/>
            <w:szCs w:val="16"/>
          </w:rPr>
          <w:t>v3</w:t>
        </w:r>
      </w:hyperlink>
      <w:r w:rsidRPr="004F5E23">
        <w:rPr>
          <w:sz w:val="16"/>
          <w:szCs w:val="16"/>
        </w:rPr>
        <w:t xml:space="preserve">  men frugten på det træ, der står midt i haven, har Gud sagt, at vi ikke må spise af og ikke røre ved, for ellers skal vi dø.« </w:t>
      </w:r>
      <w:bookmarkStart w:id="3" w:name="v4"/>
      <w:r w:rsidRPr="004F5E23">
        <w:rPr>
          <w:sz w:val="16"/>
          <w:szCs w:val="16"/>
        </w:rPr>
        <w:fldChar w:fldCharType="begin"/>
      </w:r>
      <w:r w:rsidRPr="004F5E23">
        <w:rPr>
          <w:sz w:val="16"/>
          <w:szCs w:val="16"/>
        </w:rPr>
        <w:instrText xml:space="preserve"> HYPERLINK "http://www.bibelselskabet.dk/danbib/web/1mos/ch3/v4.htm" \t "Notes" </w:instrText>
      </w:r>
      <w:r w:rsidRPr="004F5E23">
        <w:rPr>
          <w:sz w:val="16"/>
          <w:szCs w:val="16"/>
        </w:rPr>
        <w:fldChar w:fldCharType="separate"/>
      </w:r>
      <w:r w:rsidRPr="004F5E23">
        <w:rPr>
          <w:rStyle w:val="Hyperlink"/>
          <w:sz w:val="16"/>
          <w:szCs w:val="16"/>
        </w:rPr>
        <w:t>v4</w:t>
      </w:r>
      <w:r w:rsidRPr="004F5E23">
        <w:rPr>
          <w:sz w:val="16"/>
          <w:szCs w:val="16"/>
        </w:rPr>
        <w:fldChar w:fldCharType="end"/>
      </w:r>
      <w:bookmarkEnd w:id="3"/>
      <w:r w:rsidRPr="004F5E23">
        <w:rPr>
          <w:sz w:val="16"/>
          <w:szCs w:val="16"/>
        </w:rPr>
        <w:t>  Men slangen sagde til kvinden: »Vist skal I ikke dø!</w:t>
      </w:r>
    </w:p>
    <w:p w:rsidR="00566ABF" w:rsidRPr="004F5E23" w:rsidRDefault="00566ABF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>Første Mosebog, kap. 3</w:t>
      </w:r>
    </w:p>
    <w:p w:rsidR="00566ABF" w:rsidRPr="004F5E23" w:rsidRDefault="00566ABF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t>Den dogmatiske og filosofiske dimension</w:t>
      </w:r>
    </w:p>
    <w:p w:rsidR="00566ABF" w:rsidRPr="004F5E23" w:rsidRDefault="00566ABF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>Islams seks trosartikler udgør det fundamentale i den muslimske tro. De seks trosartikler omhandler Gud, engle, skrifter/bøger, profeter, dommedag og forudbestemmelse, og står beskrevet i Koranen i sura 2,177.</w:t>
      </w:r>
    </w:p>
    <w:p w:rsidR="00C9398F" w:rsidRPr="004F5E23" w:rsidRDefault="00C9398F" w:rsidP="00C9398F">
      <w:pPr>
        <w:rPr>
          <w:sz w:val="16"/>
          <w:szCs w:val="16"/>
        </w:rPr>
      </w:pPr>
      <w:hyperlink r:id="rId17" w:history="1">
        <w:r w:rsidRPr="004F5E23">
          <w:rPr>
            <w:rStyle w:val="Hyperlink"/>
            <w:sz w:val="16"/>
            <w:szCs w:val="16"/>
          </w:rPr>
          <w:t>https://www.religion.dk/undervisning/hvad-tror-muslimer-p</w:t>
        </w:r>
      </w:hyperlink>
    </w:p>
    <w:p w:rsidR="00C9398F" w:rsidRPr="004F5E23" w:rsidRDefault="00C9398F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t>Den etiske og juridiske dimension</w:t>
      </w:r>
    </w:p>
    <w:p w:rsidR="00C9398F" w:rsidRPr="004F5E23" w:rsidRDefault="00C9398F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 xml:space="preserve">Som buddhist skal man: </w:t>
      </w:r>
      <w:r w:rsidRPr="004F5E23">
        <w:rPr>
          <w:sz w:val="16"/>
          <w:szCs w:val="16"/>
        </w:rPr>
        <w:br/>
        <w:t>1. Afholde sig fra at tage noget levende væsens liv.</w:t>
      </w:r>
      <w:r w:rsidRPr="004F5E23">
        <w:rPr>
          <w:sz w:val="16"/>
          <w:szCs w:val="16"/>
        </w:rPr>
        <w:br/>
        <w:t>2. Afholde sig fra at tage, hvad der ikke gives.</w:t>
      </w:r>
      <w:r w:rsidRPr="004F5E23">
        <w:rPr>
          <w:sz w:val="16"/>
          <w:szCs w:val="16"/>
        </w:rPr>
        <w:br/>
        <w:t>3. Afholde sig fra utugt (for munke gælder dette seksuel omgang i det hele taget).</w:t>
      </w:r>
      <w:r w:rsidRPr="004F5E23">
        <w:rPr>
          <w:sz w:val="16"/>
          <w:szCs w:val="16"/>
        </w:rPr>
        <w:br/>
        <w:t>4. Afholde sig fra falsk tale.</w:t>
      </w:r>
      <w:r w:rsidRPr="004F5E23">
        <w:rPr>
          <w:sz w:val="16"/>
          <w:szCs w:val="16"/>
        </w:rPr>
        <w:br/>
        <w:t>5. Afholde sig fra at indtage destillerede og gærede drikke, der forårsager beruselse og hensynsløshed.</w:t>
      </w:r>
    </w:p>
    <w:p w:rsidR="00C9398F" w:rsidRPr="004F5E23" w:rsidRDefault="00C9398F" w:rsidP="00C9398F">
      <w:pPr>
        <w:rPr>
          <w:sz w:val="16"/>
          <w:szCs w:val="16"/>
        </w:rPr>
      </w:pPr>
      <w:hyperlink r:id="rId18" w:history="1">
        <w:r w:rsidRPr="004F5E23">
          <w:rPr>
            <w:rStyle w:val="Hyperlink"/>
            <w:sz w:val="16"/>
            <w:szCs w:val="16"/>
          </w:rPr>
          <w:t>https://www.religion.dk/buddhisme/anvendt-etik-i-buddhismen</w:t>
        </w:r>
      </w:hyperlink>
    </w:p>
    <w:p w:rsidR="00C9398F" w:rsidRPr="004F5E23" w:rsidRDefault="00C9398F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t>Den sociale og institutionelle dimension</w:t>
      </w:r>
    </w:p>
    <w:p w:rsidR="00C9398F" w:rsidRPr="004F5E23" w:rsidRDefault="00C9398F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>Paven, kardinalerne, kurien, ærkebiskopperne, biskopperne, præsterne, diakonerne, munkene og nonnerne. Der er mange embeder at holde styr på i den katolske kirke, og hvad er forskellen på dem? Få et overblik over hvem og hvad her</w:t>
      </w:r>
    </w:p>
    <w:p w:rsidR="00C9398F" w:rsidRPr="004F5E23" w:rsidRDefault="00C9398F" w:rsidP="00C9398F">
      <w:pPr>
        <w:rPr>
          <w:sz w:val="16"/>
          <w:szCs w:val="16"/>
        </w:rPr>
      </w:pPr>
      <w:hyperlink r:id="rId19" w:history="1">
        <w:r w:rsidRPr="004F5E23">
          <w:rPr>
            <w:rStyle w:val="Hyperlink"/>
            <w:sz w:val="16"/>
            <w:szCs w:val="16"/>
          </w:rPr>
          <w:t>https://www.kristendom.dk/den-katolske-kirke/hvem-er-hvem-i-den-katolske-kirke</w:t>
        </w:r>
      </w:hyperlink>
    </w:p>
    <w:p w:rsidR="00C9398F" w:rsidRPr="004F5E23" w:rsidRDefault="00C9398F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b/>
          <w:sz w:val="16"/>
          <w:szCs w:val="16"/>
        </w:rPr>
      </w:pPr>
      <w:r w:rsidRPr="004F5E23">
        <w:rPr>
          <w:b/>
          <w:sz w:val="16"/>
          <w:szCs w:val="16"/>
        </w:rPr>
        <w:t>Den materielle dimension</w:t>
      </w:r>
    </w:p>
    <w:p w:rsidR="00C9398F" w:rsidRPr="004F5E23" w:rsidRDefault="00C9398F" w:rsidP="00C9398F">
      <w:pPr>
        <w:rPr>
          <w:sz w:val="16"/>
          <w:szCs w:val="16"/>
        </w:rPr>
      </w:pPr>
      <w:r w:rsidRPr="004F5E23">
        <w:rPr>
          <w:sz w:val="16"/>
          <w:szCs w:val="16"/>
        </w:rPr>
        <w:t xml:space="preserve">I begyndelsen af </w:t>
      </w:r>
      <w:proofErr w:type="spellStart"/>
      <w:r w:rsidRPr="004F5E23">
        <w:rPr>
          <w:sz w:val="16"/>
          <w:szCs w:val="16"/>
        </w:rPr>
        <w:t>Benalmádena</w:t>
      </w:r>
      <w:proofErr w:type="spellEnd"/>
      <w:r w:rsidRPr="004F5E23">
        <w:rPr>
          <w:sz w:val="16"/>
          <w:szCs w:val="16"/>
        </w:rPr>
        <w:t xml:space="preserve"> landsby ligger Europas største buddhistiske </w:t>
      </w:r>
      <w:proofErr w:type="spellStart"/>
      <w:r w:rsidRPr="004F5E23">
        <w:rPr>
          <w:sz w:val="16"/>
          <w:szCs w:val="16"/>
        </w:rPr>
        <w:t>stupa</w:t>
      </w:r>
      <w:proofErr w:type="spellEnd"/>
      <w:r w:rsidRPr="004F5E23">
        <w:rPr>
          <w:sz w:val="16"/>
          <w:szCs w:val="16"/>
        </w:rPr>
        <w:t xml:space="preserve">.  </w:t>
      </w:r>
      <w:proofErr w:type="spellStart"/>
      <w:r w:rsidRPr="004F5E23">
        <w:rPr>
          <w:sz w:val="16"/>
          <w:szCs w:val="16"/>
        </w:rPr>
        <w:t>Stupaen</w:t>
      </w:r>
      <w:proofErr w:type="spellEnd"/>
      <w:r w:rsidRPr="004F5E23">
        <w:rPr>
          <w:sz w:val="16"/>
          <w:szCs w:val="16"/>
        </w:rPr>
        <w:t> er 33 meter høj og næsten 26 meter bred. Buddhist templet ligger smukt med udsigt udover Fuengirola og er værd at besøge som et udsigtspunkt.</w:t>
      </w:r>
    </w:p>
    <w:p w:rsidR="00B261F7" w:rsidRPr="004F5E23" w:rsidRDefault="00C9398F" w:rsidP="00C9398F">
      <w:pPr>
        <w:rPr>
          <w:sz w:val="16"/>
          <w:szCs w:val="16"/>
        </w:rPr>
      </w:pPr>
      <w:hyperlink r:id="rId20" w:history="1">
        <w:r w:rsidRPr="004F5E23">
          <w:rPr>
            <w:rStyle w:val="Hyperlink"/>
            <w:sz w:val="16"/>
            <w:szCs w:val="16"/>
          </w:rPr>
          <w:t>http://www.hellehollis.com/dk/blog/buddhist-stupa-i-benalmadena.htm</w:t>
        </w:r>
      </w:hyperlink>
    </w:p>
    <w:p w:rsidR="00C9398F" w:rsidRPr="004F5E23" w:rsidRDefault="00C9398F" w:rsidP="00C9398F">
      <w:pPr>
        <w:rPr>
          <w:sz w:val="16"/>
          <w:szCs w:val="16"/>
        </w:rPr>
      </w:pPr>
    </w:p>
    <w:p w:rsidR="00B261F7" w:rsidRPr="004F5E23" w:rsidRDefault="00B261F7" w:rsidP="00C9398F">
      <w:pPr>
        <w:rPr>
          <w:sz w:val="16"/>
          <w:szCs w:val="16"/>
        </w:rPr>
      </w:pPr>
    </w:p>
    <w:sectPr w:rsidR="00B261F7" w:rsidRPr="004F5E23" w:rsidSect="004F5E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F7"/>
    <w:rsid w:val="00011F7B"/>
    <w:rsid w:val="004F5E23"/>
    <w:rsid w:val="00566ABF"/>
    <w:rsid w:val="00B261F7"/>
    <w:rsid w:val="00C9398F"/>
    <w:rsid w:val="00DA21FD"/>
    <w:rsid w:val="00E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66AB"/>
  <w15:chartTrackingRefBased/>
  <w15:docId w15:val="{20E9E211-785D-4361-B924-BCCC92C5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1F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C9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nstoredanske.dk/Sprog%2c_religion_og_filosofi/Sprog/Fremmedord/mp-m%c3%a5/mystiker" TargetMode="External"/><Relationship Id="rId13" Type="http://schemas.openxmlformats.org/officeDocument/2006/relationships/hyperlink" Target="http://denstoredanske.dk/Sprog%2c_religion_og_filosofi/Religion_og_mystik/Primitiv_religion/shaman" TargetMode="External"/><Relationship Id="rId18" Type="http://schemas.openxmlformats.org/officeDocument/2006/relationships/hyperlink" Target="https://www.religion.dk/buddhisme/anvendt-etik-i-buddhisme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ibelselskabet.dk/danbib/web/1mos/ch3/v4.htm" TargetMode="External"/><Relationship Id="rId12" Type="http://schemas.openxmlformats.org/officeDocument/2006/relationships/hyperlink" Target="http://denstoredanske.dk/Sprog%2c_religion_og_filosofi/Sprog/Fremmedord/mp-m%c3%a5/mystiker" TargetMode="External"/><Relationship Id="rId17" Type="http://schemas.openxmlformats.org/officeDocument/2006/relationships/hyperlink" Target="https://www.religion.dk/undervisning/hvad-tror-muslimer-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belselskabet.dk/danbib/web/1mos/ch3/v3.htm" TargetMode="External"/><Relationship Id="rId20" Type="http://schemas.openxmlformats.org/officeDocument/2006/relationships/hyperlink" Target="http://www.hellehollis.com/dk/blog/buddhist-stupa-i-benalmadena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elselskabet.dk/danbib/web/1mos/ch3/v3.htm" TargetMode="External"/><Relationship Id="rId11" Type="http://schemas.openxmlformats.org/officeDocument/2006/relationships/hyperlink" Target="http://www.barn-i-islam.dk/salah.htm" TargetMode="External"/><Relationship Id="rId5" Type="http://schemas.openxmlformats.org/officeDocument/2006/relationships/hyperlink" Target="http://www.bibelselskabet.dk/danbib/web/1mos/ch3/v2.htm" TargetMode="External"/><Relationship Id="rId15" Type="http://schemas.openxmlformats.org/officeDocument/2006/relationships/hyperlink" Target="http://denstoredanske.dk/Sprog,_religion_og_filosofi/Religion_og_mystik/Primitiv_religion/ekstase" TargetMode="External"/><Relationship Id="rId10" Type="http://schemas.openxmlformats.org/officeDocument/2006/relationships/hyperlink" Target="http://denstoredanske.dk/Sprog%2c_religion_og_filosofi/Religion_og_mystik/Dogmatik/Hellig%c3%a5nden" TargetMode="External"/><Relationship Id="rId19" Type="http://schemas.openxmlformats.org/officeDocument/2006/relationships/hyperlink" Target="https://www.kristendom.dk/den-katolske-kirke/hvem-er-hvem-i-den-katolske-kirke" TargetMode="External"/><Relationship Id="rId4" Type="http://schemas.openxmlformats.org/officeDocument/2006/relationships/hyperlink" Target="http://www.bibelselskabet.dk/danbib/web/1mos/ch3/v1.htm" TargetMode="External"/><Relationship Id="rId9" Type="http://schemas.openxmlformats.org/officeDocument/2006/relationships/hyperlink" Target="http://denstoredanske.dk/Sprog%2c_religion_og_filosofi/Religion_og_mystik/Primitiv_religion/shaman" TargetMode="External"/><Relationship Id="rId14" Type="http://schemas.openxmlformats.org/officeDocument/2006/relationships/hyperlink" Target="http://denstoredanske.dk/Sprog%2c_religion_og_filosofi/Religion_og_mystik/Dogmatik/Hellig%c3%a5nd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Molander</dc:creator>
  <cp:keywords/>
  <dc:description/>
  <cp:lastModifiedBy>Andreas Molander</cp:lastModifiedBy>
  <cp:revision>2</cp:revision>
  <dcterms:created xsi:type="dcterms:W3CDTF">2018-06-22T07:11:00Z</dcterms:created>
  <dcterms:modified xsi:type="dcterms:W3CDTF">2018-06-22T07:11:00Z</dcterms:modified>
</cp:coreProperties>
</file>